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80" w:rsidRPr="00B8734D" w:rsidRDefault="003B2E5B" w:rsidP="003B2E5B">
      <w:pPr>
        <w:jc w:val="center"/>
        <w:rPr>
          <w:b/>
          <w:sz w:val="32"/>
          <w:szCs w:val="32"/>
        </w:rPr>
      </w:pPr>
      <w:r w:rsidRPr="00B8734D">
        <w:rPr>
          <w:b/>
          <w:sz w:val="32"/>
          <w:szCs w:val="32"/>
        </w:rPr>
        <w:t xml:space="preserve">Réunion rentrée </w:t>
      </w:r>
      <w:r w:rsidR="00B8734D" w:rsidRPr="00B8734D">
        <w:rPr>
          <w:b/>
          <w:sz w:val="32"/>
          <w:szCs w:val="32"/>
        </w:rPr>
        <w:t>PS/</w:t>
      </w:r>
      <w:r w:rsidRPr="00B8734D">
        <w:rPr>
          <w:b/>
          <w:sz w:val="32"/>
          <w:szCs w:val="32"/>
        </w:rPr>
        <w:t>MS/GS</w:t>
      </w:r>
    </w:p>
    <w:p w:rsidR="003B2E5B" w:rsidRPr="003B2E5B" w:rsidRDefault="003B2E5B" w:rsidP="003B2E5B">
      <w:pPr>
        <w:jc w:val="both"/>
        <w:rPr>
          <w:sz w:val="24"/>
          <w:szCs w:val="24"/>
        </w:rPr>
      </w:pPr>
    </w:p>
    <w:p w:rsidR="003B2E5B" w:rsidRDefault="00B8734D" w:rsidP="003B2E5B">
      <w:pPr>
        <w:jc w:val="both"/>
        <w:rPr>
          <w:sz w:val="24"/>
          <w:szCs w:val="24"/>
        </w:rPr>
      </w:pPr>
      <w:r>
        <w:rPr>
          <w:sz w:val="24"/>
          <w:szCs w:val="24"/>
        </w:rPr>
        <w:t>- 26</w:t>
      </w:r>
      <w:r w:rsidR="003B2E5B">
        <w:rPr>
          <w:sz w:val="24"/>
          <w:szCs w:val="24"/>
        </w:rPr>
        <w:t xml:space="preserve"> élèves inscrits dans la classe</w:t>
      </w:r>
      <w:r w:rsidR="00C817E7">
        <w:rPr>
          <w:sz w:val="24"/>
          <w:szCs w:val="24"/>
        </w:rPr>
        <w:t xml:space="preserve"> : </w:t>
      </w:r>
      <w:r>
        <w:rPr>
          <w:sz w:val="24"/>
          <w:szCs w:val="24"/>
        </w:rPr>
        <w:t>8 PS, 11 MS, 7 GS</w:t>
      </w:r>
    </w:p>
    <w:p w:rsidR="003B2E5B" w:rsidRDefault="00B8734D" w:rsidP="003B2E5B">
      <w:pPr>
        <w:jc w:val="both"/>
        <w:rPr>
          <w:sz w:val="24"/>
          <w:szCs w:val="24"/>
        </w:rPr>
      </w:pPr>
      <w:r>
        <w:rPr>
          <w:sz w:val="24"/>
          <w:szCs w:val="24"/>
        </w:rPr>
        <w:t>- répartition : L, J, V :</w:t>
      </w:r>
      <w:r w:rsidR="00A435D7">
        <w:rPr>
          <w:sz w:val="24"/>
          <w:szCs w:val="24"/>
        </w:rPr>
        <w:t xml:space="preserve"> Isabelle / mardi</w:t>
      </w:r>
      <w:r>
        <w:rPr>
          <w:sz w:val="24"/>
          <w:szCs w:val="24"/>
        </w:rPr>
        <w:t> : Axel (également en CP)</w:t>
      </w:r>
      <w:r w:rsidR="00A435D7">
        <w:rPr>
          <w:sz w:val="24"/>
          <w:szCs w:val="24"/>
        </w:rPr>
        <w:t xml:space="preserve"> / Natacha </w:t>
      </w:r>
      <w:proofErr w:type="spellStart"/>
      <w:r w:rsidR="00A435D7">
        <w:rPr>
          <w:sz w:val="24"/>
          <w:szCs w:val="24"/>
        </w:rPr>
        <w:t>Atsem</w:t>
      </w:r>
      <w:proofErr w:type="spellEnd"/>
    </w:p>
    <w:p w:rsidR="003B2E5B" w:rsidRDefault="003B2E5B" w:rsidP="003B2E5B">
      <w:pPr>
        <w:jc w:val="both"/>
        <w:rPr>
          <w:sz w:val="24"/>
          <w:szCs w:val="24"/>
        </w:rPr>
      </w:pPr>
      <w:r>
        <w:rPr>
          <w:sz w:val="24"/>
          <w:szCs w:val="24"/>
        </w:rPr>
        <w:t>- description journée de classe :</w:t>
      </w:r>
    </w:p>
    <w:p w:rsidR="003B2E5B" w:rsidRDefault="003B2E5B" w:rsidP="003B2E5B">
      <w:pPr>
        <w:jc w:val="both"/>
        <w:rPr>
          <w:sz w:val="24"/>
          <w:szCs w:val="24"/>
        </w:rPr>
      </w:pPr>
      <w:r>
        <w:rPr>
          <w:sz w:val="24"/>
          <w:szCs w:val="24"/>
        </w:rPr>
        <w:t>Matin : accueil, regroupement, rituels,  salle de motricité, ateliers en groupe, langage, passage toilettes, récréation, écoute musique / chants / comptines</w:t>
      </w:r>
    </w:p>
    <w:p w:rsidR="003B2E5B" w:rsidRDefault="003B2E5B" w:rsidP="003B2E5B">
      <w:pPr>
        <w:jc w:val="both"/>
        <w:rPr>
          <w:sz w:val="24"/>
          <w:szCs w:val="24"/>
        </w:rPr>
      </w:pPr>
      <w:r>
        <w:rPr>
          <w:sz w:val="24"/>
          <w:szCs w:val="24"/>
        </w:rPr>
        <w:t>Après-midi : accueil (temps calme), langage, ateliers (dirigés et autonomes), récréation</w:t>
      </w:r>
    </w:p>
    <w:p w:rsidR="003B2E5B" w:rsidRDefault="003B2E5B" w:rsidP="003B2E5B">
      <w:pPr>
        <w:jc w:val="both"/>
        <w:rPr>
          <w:sz w:val="24"/>
          <w:szCs w:val="24"/>
        </w:rPr>
      </w:pPr>
      <w:r>
        <w:rPr>
          <w:sz w:val="24"/>
          <w:szCs w:val="24"/>
        </w:rPr>
        <w:t>- goûters : il n’y a plus de goûters à l’école mais pendant l’accueil du matin, les enfants peuvent apporter une petite collation (de préférence un fruit) à l’école</w:t>
      </w:r>
    </w:p>
    <w:p w:rsidR="00C817E7" w:rsidRDefault="003B2E5B" w:rsidP="00C817E7">
      <w:pPr>
        <w:jc w:val="both"/>
        <w:rPr>
          <w:sz w:val="24"/>
          <w:szCs w:val="24"/>
        </w:rPr>
      </w:pPr>
      <w:r>
        <w:rPr>
          <w:sz w:val="24"/>
          <w:szCs w:val="24"/>
        </w:rPr>
        <w:t>- anniversaires : l’enfant peut apporter un gâteau (simple) et des boissons (sans gaz) pour fêter son anniversaire à l’école (prévenir quelques jours avant)</w:t>
      </w:r>
    </w:p>
    <w:p w:rsidR="003B2E5B" w:rsidRDefault="003B2E5B" w:rsidP="003B2E5B">
      <w:pPr>
        <w:jc w:val="both"/>
        <w:rPr>
          <w:sz w:val="24"/>
          <w:szCs w:val="24"/>
        </w:rPr>
      </w:pPr>
      <w:r>
        <w:rPr>
          <w:sz w:val="24"/>
          <w:szCs w:val="24"/>
        </w:rPr>
        <w:t>ATTENTION :</w:t>
      </w:r>
      <w:r w:rsidR="00B8734D">
        <w:rPr>
          <w:sz w:val="24"/>
          <w:szCs w:val="24"/>
        </w:rPr>
        <w:t xml:space="preserve"> prévenir si</w:t>
      </w:r>
      <w:r>
        <w:rPr>
          <w:sz w:val="24"/>
          <w:szCs w:val="24"/>
        </w:rPr>
        <w:t xml:space="preserve"> allergie alimentaire dans la </w:t>
      </w:r>
      <w:r w:rsidR="00B8734D">
        <w:rPr>
          <w:sz w:val="24"/>
          <w:szCs w:val="24"/>
        </w:rPr>
        <w:t>classe</w:t>
      </w:r>
    </w:p>
    <w:p w:rsidR="00C817E7" w:rsidRDefault="00C817E7" w:rsidP="00C817E7">
      <w:pPr>
        <w:jc w:val="both"/>
        <w:rPr>
          <w:sz w:val="24"/>
          <w:szCs w:val="24"/>
        </w:rPr>
      </w:pPr>
      <w:r>
        <w:rPr>
          <w:sz w:val="24"/>
          <w:szCs w:val="24"/>
        </w:rPr>
        <w:t xml:space="preserve">- </w:t>
      </w:r>
      <w:r w:rsidR="00B8734D">
        <w:rPr>
          <w:sz w:val="24"/>
          <w:szCs w:val="24"/>
        </w:rPr>
        <w:t>la semaine du goût a lieu du : 10 au 16</w:t>
      </w:r>
      <w:r>
        <w:rPr>
          <w:sz w:val="24"/>
          <w:szCs w:val="24"/>
        </w:rPr>
        <w:t xml:space="preserve"> octobre</w:t>
      </w:r>
    </w:p>
    <w:p w:rsidR="003B2E5B" w:rsidRDefault="003B2E5B" w:rsidP="003B2E5B">
      <w:pPr>
        <w:jc w:val="both"/>
        <w:rPr>
          <w:sz w:val="24"/>
          <w:szCs w:val="24"/>
        </w:rPr>
      </w:pPr>
      <w:r>
        <w:rPr>
          <w:sz w:val="24"/>
          <w:szCs w:val="24"/>
        </w:rPr>
        <w:t>- habillement : l’enfant doit devenir autonome à l’école : chaussures à scratch de préférence, moufles (pas gants sauf si l’enfant sait les enfiler), cagoule plutôt que longue écharpe (danger)</w:t>
      </w:r>
    </w:p>
    <w:p w:rsidR="003B2E5B" w:rsidRDefault="003B2E5B" w:rsidP="003B2E5B">
      <w:pPr>
        <w:jc w:val="both"/>
        <w:rPr>
          <w:sz w:val="24"/>
          <w:szCs w:val="24"/>
        </w:rPr>
      </w:pPr>
      <w:r>
        <w:rPr>
          <w:sz w:val="24"/>
          <w:szCs w:val="24"/>
        </w:rPr>
        <w:t>- APC : 1 heure de soutien en groupe de 3</w:t>
      </w:r>
      <w:r w:rsidR="00B8734D">
        <w:rPr>
          <w:sz w:val="24"/>
          <w:szCs w:val="24"/>
        </w:rPr>
        <w:t>/4</w:t>
      </w:r>
      <w:r>
        <w:rPr>
          <w:sz w:val="24"/>
          <w:szCs w:val="24"/>
        </w:rPr>
        <w:t xml:space="preserve"> élèves MS / GS </w:t>
      </w:r>
    </w:p>
    <w:p w:rsidR="003B2E5B" w:rsidRDefault="003B2E5B" w:rsidP="003B2E5B">
      <w:pPr>
        <w:jc w:val="both"/>
        <w:rPr>
          <w:sz w:val="24"/>
          <w:szCs w:val="24"/>
        </w:rPr>
      </w:pPr>
      <w:r>
        <w:rPr>
          <w:sz w:val="24"/>
          <w:szCs w:val="24"/>
        </w:rPr>
        <w:t>- coopérative scolaire :</w:t>
      </w:r>
      <w:r w:rsidR="00FC1F41">
        <w:rPr>
          <w:sz w:val="24"/>
          <w:szCs w:val="24"/>
        </w:rPr>
        <w:t xml:space="preserve"> elle est</w:t>
      </w:r>
      <w:r>
        <w:rPr>
          <w:sz w:val="24"/>
          <w:szCs w:val="24"/>
        </w:rPr>
        <w:t xml:space="preserve"> indispensable</w:t>
      </w:r>
      <w:r w:rsidR="00FC1F41">
        <w:rPr>
          <w:sz w:val="24"/>
          <w:szCs w:val="24"/>
        </w:rPr>
        <w:t xml:space="preserve"> pour le bon fonctionnement de la classe</w:t>
      </w:r>
      <w:r>
        <w:rPr>
          <w:sz w:val="24"/>
          <w:szCs w:val="24"/>
        </w:rPr>
        <w:t xml:space="preserve"> (spectacles, sortie fin d’année, cadeaux fêtes pères et mères, Noël,</w:t>
      </w:r>
      <w:r w:rsidR="00FC1F41">
        <w:rPr>
          <w:sz w:val="24"/>
          <w:szCs w:val="24"/>
        </w:rPr>
        <w:t xml:space="preserve"> chocolats de Pâques, Saint-Nicolas,</w:t>
      </w:r>
      <w:r>
        <w:rPr>
          <w:sz w:val="24"/>
          <w:szCs w:val="24"/>
        </w:rPr>
        <w:t xml:space="preserve"> …)</w:t>
      </w:r>
    </w:p>
    <w:p w:rsidR="00FC1F41" w:rsidRDefault="00FC1F41" w:rsidP="00FC1F41">
      <w:pPr>
        <w:jc w:val="both"/>
        <w:rPr>
          <w:sz w:val="24"/>
          <w:szCs w:val="24"/>
        </w:rPr>
      </w:pPr>
      <w:r>
        <w:rPr>
          <w:sz w:val="24"/>
          <w:szCs w:val="24"/>
        </w:rPr>
        <w:t>Nous rappelons que les parents n’ayant pas payé la coopérative scolaire devront payer l’intégralité du coût des sorties et des spectacles, la coopérative ne participant que pour les familles qui s’en sont acquittés.</w:t>
      </w:r>
    </w:p>
    <w:p w:rsidR="003B2E5B" w:rsidRDefault="003B2E5B" w:rsidP="003B2E5B">
      <w:pPr>
        <w:jc w:val="both"/>
        <w:rPr>
          <w:sz w:val="24"/>
          <w:szCs w:val="24"/>
        </w:rPr>
      </w:pPr>
      <w:r>
        <w:rPr>
          <w:sz w:val="24"/>
          <w:szCs w:val="24"/>
        </w:rPr>
        <w:t>- présentation du classeur de réussite</w:t>
      </w:r>
    </w:p>
    <w:p w:rsidR="00BE7AA3" w:rsidRDefault="00BE7AA3" w:rsidP="003B2E5B">
      <w:pPr>
        <w:jc w:val="both"/>
        <w:rPr>
          <w:sz w:val="24"/>
          <w:szCs w:val="24"/>
        </w:rPr>
      </w:pPr>
      <w:r>
        <w:rPr>
          <w:sz w:val="24"/>
          <w:szCs w:val="24"/>
        </w:rPr>
        <w:t>- si changement d’ordre familial ou problème particulier : ne pas hésiter à en parler (RDV si besoin ou après la classe)</w:t>
      </w:r>
    </w:p>
    <w:p w:rsidR="00BE7AA3" w:rsidRDefault="00BE7AA3" w:rsidP="003B2E5B">
      <w:pPr>
        <w:jc w:val="both"/>
        <w:rPr>
          <w:sz w:val="24"/>
          <w:szCs w:val="24"/>
        </w:rPr>
      </w:pPr>
      <w:r>
        <w:rPr>
          <w:sz w:val="24"/>
          <w:szCs w:val="24"/>
        </w:rPr>
        <w:t>- respect des horaires important pour le bon déroulement de la classe</w:t>
      </w:r>
    </w:p>
    <w:p w:rsidR="00C817E7" w:rsidRDefault="00C817E7" w:rsidP="00021F0B">
      <w:pPr>
        <w:jc w:val="both"/>
        <w:rPr>
          <w:sz w:val="24"/>
          <w:szCs w:val="24"/>
        </w:rPr>
      </w:pPr>
      <w:r>
        <w:rPr>
          <w:sz w:val="24"/>
          <w:szCs w:val="24"/>
        </w:rPr>
        <w:t>- les prêts de livres de bibliothèque auront lieu le lundi à partir du ret</w:t>
      </w:r>
      <w:r w:rsidR="00021F0B">
        <w:rPr>
          <w:sz w:val="24"/>
          <w:szCs w:val="24"/>
        </w:rPr>
        <w:t>our des vacances de la Toussaint</w:t>
      </w:r>
      <w:bookmarkStart w:id="0" w:name="_GoBack"/>
      <w:bookmarkEnd w:id="0"/>
    </w:p>
    <w:p w:rsidR="00B8734D" w:rsidRDefault="00B8734D" w:rsidP="00021F0B">
      <w:pPr>
        <w:jc w:val="both"/>
        <w:rPr>
          <w:sz w:val="24"/>
          <w:szCs w:val="24"/>
        </w:rPr>
      </w:pPr>
    </w:p>
    <w:p w:rsidR="00B8734D" w:rsidRDefault="00B8734D" w:rsidP="00021F0B">
      <w:pPr>
        <w:jc w:val="both"/>
        <w:rPr>
          <w:sz w:val="24"/>
          <w:szCs w:val="24"/>
        </w:rPr>
      </w:pPr>
    </w:p>
    <w:p w:rsidR="00B8734D" w:rsidRDefault="00B8734D" w:rsidP="00021F0B">
      <w:pPr>
        <w:jc w:val="both"/>
        <w:rPr>
          <w:sz w:val="24"/>
          <w:szCs w:val="24"/>
        </w:rPr>
      </w:pPr>
    </w:p>
    <w:p w:rsidR="00A435D7" w:rsidRDefault="00A435D7" w:rsidP="00021F0B">
      <w:pPr>
        <w:jc w:val="both"/>
        <w:rPr>
          <w:sz w:val="24"/>
          <w:szCs w:val="24"/>
        </w:rPr>
      </w:pPr>
    </w:p>
    <w:p w:rsidR="00A435D7" w:rsidRDefault="00A435D7" w:rsidP="00021F0B">
      <w:pPr>
        <w:jc w:val="both"/>
        <w:rPr>
          <w:sz w:val="24"/>
          <w:szCs w:val="24"/>
        </w:rPr>
      </w:pPr>
    </w:p>
    <w:p w:rsidR="00B8734D" w:rsidRPr="00A435D7" w:rsidRDefault="00B8734D" w:rsidP="00A435D7">
      <w:pPr>
        <w:jc w:val="center"/>
        <w:rPr>
          <w:b/>
          <w:sz w:val="32"/>
          <w:szCs w:val="32"/>
        </w:rPr>
      </w:pPr>
      <w:r w:rsidRPr="00B8734D">
        <w:rPr>
          <w:b/>
          <w:sz w:val="32"/>
          <w:szCs w:val="32"/>
        </w:rPr>
        <w:lastRenderedPageBreak/>
        <w:t>Progressions et organisation du travail en classe</w:t>
      </w:r>
    </w:p>
    <w:p w:rsidR="00B8734D" w:rsidRDefault="00B8734D" w:rsidP="00021F0B">
      <w:pPr>
        <w:jc w:val="both"/>
        <w:rPr>
          <w:sz w:val="24"/>
          <w:szCs w:val="24"/>
        </w:rPr>
      </w:pPr>
      <w:proofErr w:type="spellStart"/>
      <w:r>
        <w:rPr>
          <w:sz w:val="24"/>
          <w:szCs w:val="24"/>
        </w:rPr>
        <w:t>Cf</w:t>
      </w:r>
      <w:proofErr w:type="spellEnd"/>
      <w:r>
        <w:rPr>
          <w:sz w:val="24"/>
          <w:szCs w:val="24"/>
        </w:rPr>
        <w:t> : emploi du temps</w:t>
      </w:r>
    </w:p>
    <w:p w:rsidR="00B8734D" w:rsidRDefault="00A435D7" w:rsidP="00021F0B">
      <w:pPr>
        <w:jc w:val="both"/>
        <w:rPr>
          <w:sz w:val="24"/>
          <w:szCs w:val="24"/>
        </w:rPr>
      </w:pPr>
      <w:r>
        <w:rPr>
          <w:sz w:val="24"/>
          <w:szCs w:val="24"/>
        </w:rPr>
        <w:t xml:space="preserve">1/ </w:t>
      </w:r>
      <w:r w:rsidR="00B8734D">
        <w:rPr>
          <w:sz w:val="24"/>
          <w:szCs w:val="24"/>
        </w:rPr>
        <w:t>Que fait-on à l’école en PS ?</w:t>
      </w:r>
    </w:p>
    <w:p w:rsidR="00B8734D" w:rsidRDefault="00B8734D" w:rsidP="00B8734D">
      <w:pPr>
        <w:pStyle w:val="Paragraphedeliste"/>
        <w:numPr>
          <w:ilvl w:val="0"/>
          <w:numId w:val="1"/>
        </w:numPr>
        <w:jc w:val="both"/>
        <w:rPr>
          <w:sz w:val="24"/>
          <w:szCs w:val="24"/>
        </w:rPr>
      </w:pPr>
      <w:r>
        <w:rPr>
          <w:sz w:val="24"/>
          <w:szCs w:val="24"/>
        </w:rPr>
        <w:t>Socialisation : apprendre à vivre ensemble</w:t>
      </w:r>
    </w:p>
    <w:p w:rsidR="00B8734D" w:rsidRDefault="00B8734D" w:rsidP="00B8734D">
      <w:pPr>
        <w:pStyle w:val="Paragraphedeliste"/>
        <w:numPr>
          <w:ilvl w:val="0"/>
          <w:numId w:val="1"/>
        </w:numPr>
        <w:jc w:val="both"/>
        <w:rPr>
          <w:sz w:val="24"/>
          <w:szCs w:val="24"/>
        </w:rPr>
      </w:pPr>
      <w:r>
        <w:rPr>
          <w:sz w:val="24"/>
          <w:szCs w:val="24"/>
        </w:rPr>
        <w:t>Autonomie : s’habiller seul, propreté</w:t>
      </w:r>
    </w:p>
    <w:p w:rsidR="00B8734D" w:rsidRPr="00A435D7" w:rsidRDefault="00B8734D" w:rsidP="00A435D7">
      <w:pPr>
        <w:pStyle w:val="Paragraphedeliste"/>
        <w:numPr>
          <w:ilvl w:val="0"/>
          <w:numId w:val="1"/>
        </w:numPr>
        <w:jc w:val="both"/>
        <w:rPr>
          <w:sz w:val="24"/>
          <w:szCs w:val="24"/>
        </w:rPr>
      </w:pPr>
      <w:r>
        <w:rPr>
          <w:sz w:val="24"/>
          <w:szCs w:val="24"/>
        </w:rPr>
        <w:t>Rester assis en atelier et en regroupement</w:t>
      </w:r>
    </w:p>
    <w:p w:rsidR="00B8734D" w:rsidRDefault="00A435D7" w:rsidP="00B8734D">
      <w:pPr>
        <w:jc w:val="both"/>
        <w:rPr>
          <w:sz w:val="24"/>
          <w:szCs w:val="24"/>
        </w:rPr>
      </w:pPr>
      <w:r>
        <w:rPr>
          <w:sz w:val="24"/>
          <w:szCs w:val="24"/>
        </w:rPr>
        <w:t xml:space="preserve">2/ </w:t>
      </w:r>
      <w:r w:rsidR="00B8734D">
        <w:rPr>
          <w:sz w:val="24"/>
          <w:szCs w:val="24"/>
        </w:rPr>
        <w:t>En MS : poursuite des acquis de PS </w:t>
      </w:r>
      <w:r>
        <w:rPr>
          <w:sz w:val="24"/>
          <w:szCs w:val="24"/>
        </w:rPr>
        <w:t>(</w:t>
      </w:r>
      <w:r w:rsidR="00B8734D">
        <w:rPr>
          <w:sz w:val="24"/>
          <w:szCs w:val="24"/>
        </w:rPr>
        <w:t>reprendre les 5 grands domaines</w:t>
      </w:r>
      <w:r>
        <w:rPr>
          <w:sz w:val="24"/>
          <w:szCs w:val="24"/>
        </w:rPr>
        <w:t>)</w:t>
      </w:r>
      <w:r w:rsidR="00B8734D">
        <w:rPr>
          <w:sz w:val="24"/>
          <w:szCs w:val="24"/>
        </w:rPr>
        <w:t> :</w:t>
      </w:r>
    </w:p>
    <w:p w:rsidR="00B8734D" w:rsidRDefault="00B8734D" w:rsidP="00B8734D">
      <w:pPr>
        <w:pStyle w:val="Paragraphedeliste"/>
        <w:numPr>
          <w:ilvl w:val="0"/>
          <w:numId w:val="1"/>
        </w:numPr>
        <w:jc w:val="both"/>
        <w:rPr>
          <w:sz w:val="24"/>
          <w:szCs w:val="24"/>
        </w:rPr>
      </w:pPr>
      <w:r>
        <w:rPr>
          <w:sz w:val="24"/>
          <w:szCs w:val="24"/>
        </w:rPr>
        <w:t>Langage oral et écrit</w:t>
      </w:r>
    </w:p>
    <w:p w:rsidR="00B8734D" w:rsidRDefault="00B8734D" w:rsidP="00B8734D">
      <w:pPr>
        <w:pStyle w:val="Paragraphedeliste"/>
        <w:numPr>
          <w:ilvl w:val="0"/>
          <w:numId w:val="1"/>
        </w:numPr>
        <w:jc w:val="both"/>
        <w:rPr>
          <w:sz w:val="24"/>
          <w:szCs w:val="24"/>
        </w:rPr>
      </w:pPr>
      <w:r>
        <w:rPr>
          <w:sz w:val="24"/>
          <w:szCs w:val="24"/>
        </w:rPr>
        <w:t>OSP (maths)</w:t>
      </w:r>
    </w:p>
    <w:p w:rsidR="00B8734D" w:rsidRDefault="00B8734D" w:rsidP="00B8734D">
      <w:pPr>
        <w:pStyle w:val="Paragraphedeliste"/>
        <w:numPr>
          <w:ilvl w:val="0"/>
          <w:numId w:val="1"/>
        </w:numPr>
        <w:jc w:val="both"/>
        <w:rPr>
          <w:sz w:val="24"/>
          <w:szCs w:val="24"/>
        </w:rPr>
      </w:pPr>
      <w:r>
        <w:rPr>
          <w:sz w:val="24"/>
          <w:szCs w:val="24"/>
        </w:rPr>
        <w:t>Découvrir le monde</w:t>
      </w:r>
    </w:p>
    <w:p w:rsidR="00B8734D" w:rsidRDefault="00B8734D" w:rsidP="00B8734D">
      <w:pPr>
        <w:pStyle w:val="Paragraphedeliste"/>
        <w:numPr>
          <w:ilvl w:val="0"/>
          <w:numId w:val="1"/>
        </w:numPr>
        <w:jc w:val="both"/>
        <w:rPr>
          <w:sz w:val="24"/>
          <w:szCs w:val="24"/>
        </w:rPr>
      </w:pPr>
      <w:r>
        <w:rPr>
          <w:sz w:val="24"/>
          <w:szCs w:val="24"/>
        </w:rPr>
        <w:t>Arts plastiques et écoute musicale</w:t>
      </w:r>
    </w:p>
    <w:p w:rsidR="00B8734D" w:rsidRDefault="00B8734D" w:rsidP="00A435D7">
      <w:pPr>
        <w:pStyle w:val="Paragraphedeliste"/>
        <w:numPr>
          <w:ilvl w:val="0"/>
          <w:numId w:val="1"/>
        </w:numPr>
        <w:jc w:val="both"/>
        <w:rPr>
          <w:sz w:val="24"/>
          <w:szCs w:val="24"/>
        </w:rPr>
      </w:pPr>
      <w:r>
        <w:rPr>
          <w:sz w:val="24"/>
          <w:szCs w:val="24"/>
        </w:rPr>
        <w:t>Motricité / jeux collectifs</w:t>
      </w:r>
    </w:p>
    <w:p w:rsidR="00A435D7" w:rsidRDefault="00A435D7" w:rsidP="00A435D7">
      <w:pPr>
        <w:jc w:val="both"/>
        <w:rPr>
          <w:b/>
          <w:sz w:val="24"/>
          <w:szCs w:val="24"/>
        </w:rPr>
      </w:pPr>
      <w:r w:rsidRPr="00A435D7">
        <w:rPr>
          <w:b/>
          <w:sz w:val="24"/>
          <w:szCs w:val="24"/>
        </w:rPr>
        <w:t>Axes de progrès :</w:t>
      </w:r>
    </w:p>
    <w:p w:rsidR="00A435D7" w:rsidRPr="00A435D7" w:rsidRDefault="00A435D7" w:rsidP="00A435D7">
      <w:pPr>
        <w:spacing w:after="0"/>
        <w:jc w:val="both"/>
        <w:rPr>
          <w:rFonts w:ascii="Arial" w:hAnsi="Arial" w:cs="Arial"/>
          <w:i/>
          <w:sz w:val="20"/>
          <w:szCs w:val="20"/>
        </w:rPr>
      </w:pPr>
      <w:r w:rsidRPr="00A435D7">
        <w:rPr>
          <w:rFonts w:ascii="Arial" w:hAnsi="Arial" w:cs="Arial"/>
          <w:i/>
          <w:sz w:val="20"/>
          <w:szCs w:val="20"/>
        </w:rPr>
        <w:t>Maintien de l’attention, persévérance dans une activité</w:t>
      </w:r>
    </w:p>
    <w:p w:rsidR="00A435D7" w:rsidRPr="00A435D7" w:rsidRDefault="00A435D7" w:rsidP="00A435D7">
      <w:pPr>
        <w:spacing w:after="0"/>
        <w:jc w:val="both"/>
        <w:rPr>
          <w:rFonts w:ascii="Arial" w:hAnsi="Arial" w:cs="Arial"/>
          <w:i/>
          <w:sz w:val="20"/>
          <w:szCs w:val="20"/>
        </w:rPr>
      </w:pPr>
      <w:r w:rsidRPr="00A435D7">
        <w:rPr>
          <w:rFonts w:ascii="Arial" w:hAnsi="Arial" w:cs="Arial"/>
          <w:i/>
          <w:sz w:val="20"/>
          <w:szCs w:val="20"/>
        </w:rPr>
        <w:t>Prise en compte de consignes collectives</w:t>
      </w:r>
    </w:p>
    <w:p w:rsidR="00A435D7" w:rsidRPr="00A435D7" w:rsidRDefault="00A435D7" w:rsidP="00A435D7">
      <w:pPr>
        <w:spacing w:after="0"/>
        <w:jc w:val="both"/>
        <w:rPr>
          <w:rFonts w:ascii="Arial" w:hAnsi="Arial" w:cs="Arial"/>
          <w:i/>
          <w:sz w:val="20"/>
          <w:szCs w:val="20"/>
        </w:rPr>
      </w:pPr>
      <w:r w:rsidRPr="00A435D7">
        <w:rPr>
          <w:rFonts w:ascii="Arial" w:hAnsi="Arial" w:cs="Arial"/>
          <w:i/>
          <w:sz w:val="20"/>
          <w:szCs w:val="20"/>
        </w:rPr>
        <w:t>Participation aux activités, initiatives, coopération</w:t>
      </w:r>
    </w:p>
    <w:p w:rsidR="00A435D7" w:rsidRPr="00A435D7" w:rsidRDefault="00A435D7" w:rsidP="00A435D7">
      <w:pPr>
        <w:spacing w:after="0"/>
        <w:jc w:val="both"/>
        <w:rPr>
          <w:b/>
          <w:sz w:val="24"/>
          <w:szCs w:val="24"/>
        </w:rPr>
      </w:pPr>
      <w:r w:rsidRPr="00A435D7">
        <w:rPr>
          <w:rFonts w:ascii="Arial" w:hAnsi="Arial" w:cs="Arial"/>
          <w:i/>
          <w:sz w:val="20"/>
          <w:szCs w:val="20"/>
        </w:rPr>
        <w:t xml:space="preserve">Prise en compte des règles de la vie commune </w:t>
      </w:r>
    </w:p>
    <w:p w:rsidR="00A435D7" w:rsidRDefault="00A435D7" w:rsidP="00A435D7">
      <w:pPr>
        <w:spacing w:after="0"/>
        <w:jc w:val="both"/>
        <w:rPr>
          <w:sz w:val="24"/>
          <w:szCs w:val="24"/>
        </w:rPr>
      </w:pPr>
    </w:p>
    <w:p w:rsidR="00B8734D" w:rsidRDefault="00A435D7" w:rsidP="00A435D7">
      <w:pPr>
        <w:spacing w:after="0"/>
        <w:jc w:val="both"/>
        <w:rPr>
          <w:sz w:val="24"/>
          <w:szCs w:val="24"/>
        </w:rPr>
      </w:pPr>
      <w:r>
        <w:rPr>
          <w:sz w:val="24"/>
          <w:szCs w:val="24"/>
        </w:rPr>
        <w:t xml:space="preserve">3/ </w:t>
      </w:r>
      <w:r w:rsidR="00B8734D">
        <w:rPr>
          <w:sz w:val="24"/>
          <w:szCs w:val="24"/>
        </w:rPr>
        <w:t>Objectifs fin GS :</w:t>
      </w:r>
      <w:r>
        <w:rPr>
          <w:sz w:val="24"/>
          <w:szCs w:val="24"/>
        </w:rPr>
        <w:t xml:space="preserve"> à détailler</w:t>
      </w:r>
    </w:p>
    <w:p w:rsidR="00A435D7" w:rsidRDefault="00A435D7" w:rsidP="00A435D7">
      <w:pPr>
        <w:spacing w:after="0"/>
        <w:jc w:val="both"/>
        <w:rPr>
          <w:sz w:val="24"/>
          <w:szCs w:val="24"/>
        </w:rPr>
      </w:pPr>
    </w:p>
    <w:tbl>
      <w:tblPr>
        <w:tblStyle w:val="Grilledutableau"/>
        <w:tblW w:w="0" w:type="auto"/>
        <w:tblLayout w:type="fixed"/>
        <w:tblLook w:val="00A0"/>
      </w:tblPr>
      <w:tblGrid>
        <w:gridCol w:w="7938"/>
      </w:tblGrid>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Langage oral : communication, expression</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Compréhension d’un message oral ou d’un texte lu par l’adulte</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Découverte de l’écrit ; relations entre l’oral et l’écrit</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Geste graphique, écriture</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Mémorisation, restitution de textes (comptines, poèmes…)</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 xml:space="preserve">Engagement, aisance et inventivité dans les actions ou déplacements </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Coopération, interactions avec respect des rôles de chacun</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Engagement dans les activités, réalisation de productions personnelles : dessin, compositions graphiques, compositions plastiques</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Engagement dans les activités, réalisation de productions personnelles : voix, chants, pratiques rythmiques et corporelles</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 xml:space="preserve">Utilisation des nombres </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Première compréhension du nombre</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Petits problèmes de composition et de décomposition de nombres (ex : 3 c’est 2 et encore 1 ; 1 et encore 2)</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 xml:space="preserve">Tris, classements, rangements, algorithmes </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Temps : repérage, représentations, utilisation de mots de liaison (puis, pendant, avant, après,…)</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Espace : repérage, représentations, utilisation des termes de position (devant, derrière, loin, près,…)</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Premières connaissances sur le vivant (développement ; besoins…)</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 xml:space="preserve">Utilisation, fabrication et manipulation d’objets </w:t>
            </w:r>
          </w:p>
        </w:tc>
      </w:tr>
      <w:tr w:rsidR="00A435D7" w:rsidRPr="00057303" w:rsidTr="00EE5114">
        <w:tc>
          <w:tcPr>
            <w:tcW w:w="7938" w:type="dxa"/>
          </w:tcPr>
          <w:p w:rsidR="00A435D7" w:rsidRPr="00057303" w:rsidRDefault="00A435D7" w:rsidP="00EE5114">
            <w:pPr>
              <w:jc w:val="both"/>
              <w:rPr>
                <w:rFonts w:ascii="Arial" w:hAnsi="Arial" w:cs="Arial"/>
                <w:sz w:val="20"/>
                <w:szCs w:val="20"/>
              </w:rPr>
            </w:pPr>
            <w:r w:rsidRPr="00057303">
              <w:rPr>
                <w:rFonts w:ascii="Arial" w:hAnsi="Arial" w:cs="Arial"/>
                <w:sz w:val="20"/>
                <w:szCs w:val="20"/>
              </w:rPr>
              <w:t>Compréhension de règles de sécurité et d’hygiène</w:t>
            </w:r>
          </w:p>
        </w:tc>
      </w:tr>
    </w:tbl>
    <w:p w:rsidR="00A435D7" w:rsidRDefault="00A435D7" w:rsidP="00B8734D">
      <w:pPr>
        <w:jc w:val="both"/>
        <w:rPr>
          <w:sz w:val="24"/>
          <w:szCs w:val="24"/>
        </w:rPr>
      </w:pPr>
    </w:p>
    <w:p w:rsidR="00B8734D" w:rsidRDefault="00A435D7" w:rsidP="00021F0B">
      <w:pPr>
        <w:jc w:val="both"/>
        <w:rPr>
          <w:sz w:val="24"/>
          <w:szCs w:val="24"/>
        </w:rPr>
      </w:pPr>
      <w:r>
        <w:rPr>
          <w:sz w:val="24"/>
          <w:szCs w:val="24"/>
        </w:rPr>
        <w:t>Importance de la phonologie / pré-lecture, graphisme puis écriture.</w:t>
      </w:r>
    </w:p>
    <w:p w:rsidR="003B2E5B" w:rsidRPr="003B2E5B" w:rsidRDefault="003B2E5B">
      <w:pPr>
        <w:jc w:val="both"/>
        <w:rPr>
          <w:sz w:val="24"/>
          <w:szCs w:val="24"/>
        </w:rPr>
      </w:pPr>
    </w:p>
    <w:sectPr w:rsidR="003B2E5B" w:rsidRPr="003B2E5B" w:rsidSect="00A435D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72B1D"/>
    <w:multiLevelType w:val="hybridMultilevel"/>
    <w:tmpl w:val="752C8B4E"/>
    <w:lvl w:ilvl="0" w:tplc="4704C776">
      <w:numFmt w:val="bullet"/>
      <w:lvlText w:val="-"/>
      <w:lvlJc w:val="left"/>
      <w:pPr>
        <w:ind w:left="1065" w:hanging="360"/>
      </w:pPr>
      <w:rPr>
        <w:rFonts w:ascii="Calibri" w:eastAsiaTheme="minorEastAsia"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B74B2B"/>
    <w:rsid w:val="00021F0B"/>
    <w:rsid w:val="00247E58"/>
    <w:rsid w:val="003B2E5B"/>
    <w:rsid w:val="00A435D7"/>
    <w:rsid w:val="00AC1F93"/>
    <w:rsid w:val="00B74B2B"/>
    <w:rsid w:val="00B8734D"/>
    <w:rsid w:val="00BE7AA3"/>
    <w:rsid w:val="00C817E7"/>
    <w:rsid w:val="00E33D80"/>
    <w:rsid w:val="00FC1F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1F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1F0B"/>
    <w:rPr>
      <w:rFonts w:ascii="Segoe UI" w:hAnsi="Segoe UI" w:cs="Segoe UI"/>
      <w:sz w:val="18"/>
      <w:szCs w:val="18"/>
    </w:rPr>
  </w:style>
  <w:style w:type="paragraph" w:styleId="Paragraphedeliste">
    <w:name w:val="List Paragraph"/>
    <w:basedOn w:val="Normal"/>
    <w:uiPriority w:val="34"/>
    <w:qFormat/>
    <w:rsid w:val="00B8734D"/>
    <w:pPr>
      <w:ind w:left="720"/>
      <w:contextualSpacing/>
    </w:pPr>
  </w:style>
  <w:style w:type="character" w:customStyle="1" w:styleId="StitreCar">
    <w:name w:val="Stitre Car"/>
    <w:link w:val="Stitre"/>
    <w:uiPriority w:val="99"/>
    <w:locked/>
    <w:rsid w:val="00A435D7"/>
    <w:rPr>
      <w:rFonts w:ascii="Arial" w:hAnsi="Arial"/>
      <w:b/>
      <w:color w:val="AC1D72"/>
      <w:sz w:val="26"/>
    </w:rPr>
  </w:style>
  <w:style w:type="paragraph" w:customStyle="1" w:styleId="Stitre">
    <w:name w:val="Stitre"/>
    <w:basedOn w:val="Normal"/>
    <w:link w:val="StitreCar"/>
    <w:uiPriority w:val="99"/>
    <w:rsid w:val="00A435D7"/>
    <w:pPr>
      <w:keepNext/>
      <w:spacing w:before="40" w:after="20" w:line="240" w:lineRule="auto"/>
      <w:contextualSpacing/>
    </w:pPr>
    <w:rPr>
      <w:rFonts w:ascii="Arial" w:hAnsi="Arial"/>
      <w:b/>
      <w:color w:val="AC1D72"/>
      <w:sz w:val="26"/>
    </w:rPr>
  </w:style>
  <w:style w:type="table" w:styleId="Grilledutableau">
    <w:name w:val="Table Grid"/>
    <w:basedOn w:val="TableauNormal"/>
    <w:rsid w:val="00A435D7"/>
    <w:pPr>
      <w:spacing w:after="0" w:line="240" w:lineRule="auto"/>
    </w:pPr>
    <w:rPr>
      <w:rFonts w:ascii="Times New Roman" w:eastAsia="Times New Roman" w:hAnsi="Times New Roman" w:cs="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591</Words>
  <Characters>3253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MASSON</dc:creator>
  <cp:lastModifiedBy>MASSON Isabelle</cp:lastModifiedBy>
  <cp:revision>3</cp:revision>
  <cp:lastPrinted>2018-09-14T12:26:00Z</cp:lastPrinted>
  <dcterms:created xsi:type="dcterms:W3CDTF">2022-08-29T13:03:00Z</dcterms:created>
  <dcterms:modified xsi:type="dcterms:W3CDTF">2022-08-29T13:21:00Z</dcterms:modified>
</cp:coreProperties>
</file>